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B050"/>
          <w:sz w:val="20"/>
          <w:szCs w:val="20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</w:rPr>
      </w:pPr>
      <w:r w:rsidRPr="002E3FBF">
        <w:rPr>
          <w:rFonts w:ascii="Verdana" w:hAnsi="Verdana" w:cs="Verdana"/>
          <w:b/>
          <w:bCs/>
          <w:color w:val="00B050"/>
          <w:sz w:val="20"/>
          <w:szCs w:val="20"/>
        </w:rPr>
        <w:t>Budżet</w:t>
      </w: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B050"/>
          <w:sz w:val="60"/>
          <w:szCs w:val="60"/>
        </w:rPr>
      </w:pPr>
      <w:r w:rsidRPr="002E3FBF">
        <w:rPr>
          <w:rFonts w:ascii="Verdana" w:hAnsi="Verdana" w:cs="Verdana"/>
          <w:b/>
          <w:bCs/>
          <w:color w:val="00B050"/>
          <w:sz w:val="60"/>
          <w:szCs w:val="60"/>
        </w:rPr>
        <w:t>Gminy Piecki</w:t>
      </w: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2E3FBF">
        <w:rPr>
          <w:rFonts w:ascii="Verdana" w:hAnsi="Verdana" w:cs="Verdana"/>
          <w:b/>
          <w:bCs/>
          <w:color w:val="00B050"/>
          <w:sz w:val="60"/>
          <w:szCs w:val="60"/>
        </w:rPr>
        <w:t>na rok 2023</w:t>
      </w: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31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51" w:line="240" w:lineRule="auto"/>
        <w:ind w:left="3118" w:firstLine="422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noProof/>
          <w:shd w:val="clear" w:color="auto" w:fill="FFFFFF"/>
          <w:lang w:eastAsia="pl-PL"/>
        </w:rPr>
        <w:drawing>
          <wp:inline distT="0" distB="0" distL="0" distR="0">
            <wp:extent cx="1781175" cy="2457450"/>
            <wp:effectExtent l="19050" t="0" r="9525" b="0"/>
            <wp:docPr id="1" name="rg_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FBF" w:rsidRPr="002E3FBF" w:rsidRDefault="002E3FBF" w:rsidP="002E3FBF">
      <w:pPr>
        <w:tabs>
          <w:tab w:val="left" w:pos="189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88" w:lineRule="auto"/>
        <w:ind w:left="1895"/>
        <w:jc w:val="center"/>
        <w:rPr>
          <w:rFonts w:ascii="Calibri" w:hAnsi="Calibri" w:cs="Calibri"/>
          <w:shd w:val="clear" w:color="auto" w:fill="FFFFFF"/>
        </w:rPr>
      </w:pPr>
      <w:hyperlink r:id="rId6" w:history="1">
        <w:r w:rsidRPr="002E3FBF">
          <w:rPr>
            <w:rFonts w:ascii="Times New Roman" w:hAnsi="Times New Roman" w:cs="Times New Roman"/>
            <w:color w:val="0000FF" w:themeColor="hyperlink"/>
            <w:u w:val="single"/>
          </w:rPr>
          <w:t>http://www.google.pl/imgres?imgurl=http://upload.wikimedia.org/wikipedia/commons/thumb/1/13/POL_gmina_Piecki_COA.svg/150px-POL_gmina_Piecki_COA.svg.png&amp;imgrefurl=http://pl.wikipedia.org/wiki/Herb_gminy_Piecki&amp;usg=__mrFpXUqC836BlHlukvEKMd3OIng=&amp;h=182&amp;w=150&amp;sz=21&amp;hl=pl&amp;start=0&amp;zoom=1&amp;tbnid=f-CgZ54G85OzEM:&amp;tbnh=145&amp;tbnw=120&amp;prev=/images?q=herb+gminy+piecki&amp;hl=pl&amp;sa=G&amp;biw=1596&amp;bih=632&amp;gbv=2&amp;tbs=isch:1&amp;itbs=1&amp;iact=hc&amp;vpx=161&amp;vpy=118&amp;dur=998&amp;hovh=145&amp;hovw=120&amp;tx=62&amp;ty=81&amp;ei=FNngTNe8HYS0tAbMp5HeCw&amp;oei=FNngTNe8HYS0tAbMp5HeCw&amp;esq=1&amp;page=1&amp;ndsp=21&amp;ved=1t:429,r:0,s:0</w:t>
        </w:r>
      </w:hyperlink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 w:rsidRPr="002E3FBF">
        <w:rPr>
          <w:rFonts w:ascii="Calibri" w:hAnsi="Calibri" w:cs="Calibri"/>
        </w:rPr>
        <w:t xml:space="preserve">                                                                        </w:t>
      </w: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2E3FBF" w:rsidRPr="002E3FBF" w:rsidRDefault="002E3FBF" w:rsidP="002E3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</w:rPr>
      </w:pPr>
      <w:r w:rsidRPr="002E3FBF">
        <w:rPr>
          <w:rFonts w:ascii="Cambria" w:hAnsi="Cambria" w:cs="Cambria"/>
          <w:b/>
          <w:bCs/>
          <w:sz w:val="24"/>
          <w:szCs w:val="24"/>
        </w:rPr>
        <w:t xml:space="preserve">          Piecki,  grudzień 2022 rok</w:t>
      </w:r>
    </w:p>
    <w:p w:rsidR="002E3FBF" w:rsidRPr="002E3FBF" w:rsidRDefault="002E3FBF" w:rsidP="002E3FBF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FBF" w:rsidRPr="002E3FBF" w:rsidRDefault="002E3FBF" w:rsidP="002E3FBF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FBF" w:rsidRPr="002E3FBF" w:rsidRDefault="002E3FBF" w:rsidP="002E3FBF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Uchwała Nr LIV/319/22</w:t>
      </w:r>
      <w:r w:rsidRPr="002E3FBF">
        <w:rPr>
          <w:rFonts w:ascii="Times New Roman" w:hAnsi="Times New Roman" w:cs="Times New Roman"/>
          <w:b/>
          <w:bCs/>
          <w:sz w:val="24"/>
          <w:szCs w:val="24"/>
        </w:rPr>
        <w:br/>
        <w:t>Rady Gminy Piecki</w:t>
      </w:r>
      <w:r w:rsidRPr="002E3FBF">
        <w:rPr>
          <w:rFonts w:ascii="Times New Roman" w:hAnsi="Times New Roman" w:cs="Times New Roman"/>
          <w:b/>
          <w:bCs/>
          <w:sz w:val="24"/>
          <w:szCs w:val="24"/>
        </w:rPr>
        <w:br/>
        <w:t>z dnia 16.12.2022 r.</w:t>
      </w:r>
    </w:p>
    <w:p w:rsidR="002E3FBF" w:rsidRPr="002E3FBF" w:rsidRDefault="002E3FBF" w:rsidP="002E3FBF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br/>
        <w:t>w sprawie uchwalenia budżetu gminy Piecki na 2023 rok</w:t>
      </w:r>
    </w:p>
    <w:p w:rsidR="002E3FBF" w:rsidRPr="002E3FBF" w:rsidRDefault="002E3FBF" w:rsidP="002E3FBF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Na podstawie art. 18 ust. 2 </w:t>
      </w:r>
      <w:proofErr w:type="spellStart"/>
      <w:r w:rsidRPr="002E3FBF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2E3FBF">
        <w:rPr>
          <w:rFonts w:ascii="Times New Roman" w:hAnsi="Times New Roman" w:cs="Times New Roman"/>
          <w:sz w:val="24"/>
          <w:szCs w:val="24"/>
        </w:rPr>
        <w:t xml:space="preserve">, 4, </w:t>
      </w:r>
      <w:proofErr w:type="spellStart"/>
      <w:r w:rsidRPr="002E3FBF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2E3FBF">
        <w:rPr>
          <w:rFonts w:ascii="Times New Roman" w:hAnsi="Times New Roman" w:cs="Times New Roman"/>
          <w:sz w:val="24"/>
          <w:szCs w:val="24"/>
        </w:rPr>
        <w:t xml:space="preserve"> 9 lit. c, d oraz lit. i, </w:t>
      </w:r>
      <w:proofErr w:type="spellStart"/>
      <w:r w:rsidRPr="002E3FBF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2E3FBF">
        <w:rPr>
          <w:rFonts w:ascii="Times New Roman" w:hAnsi="Times New Roman" w:cs="Times New Roman"/>
          <w:sz w:val="24"/>
          <w:szCs w:val="24"/>
        </w:rPr>
        <w:t xml:space="preserve"> 10 ustawy z dnia 8 marca 1990 r. o samorządzie gminnym (</w:t>
      </w:r>
      <w:proofErr w:type="spellStart"/>
      <w:r w:rsidRPr="002E3FB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E3FBF">
        <w:rPr>
          <w:rFonts w:ascii="Times New Roman" w:hAnsi="Times New Roman" w:cs="Times New Roman"/>
          <w:sz w:val="24"/>
          <w:szCs w:val="24"/>
        </w:rPr>
        <w:t xml:space="preserve">.: Dz. U. z 2022 r., poz. 559 z </w:t>
      </w:r>
      <w:proofErr w:type="spellStart"/>
      <w:r w:rsidRPr="002E3FB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E3FBF">
        <w:rPr>
          <w:rFonts w:ascii="Times New Roman" w:hAnsi="Times New Roman" w:cs="Times New Roman"/>
          <w:sz w:val="24"/>
          <w:szCs w:val="24"/>
        </w:rPr>
        <w:t>. zm.) oraz art. 211, 212, 214, 215, 222, 231 ust.2, 235, 236, 237, 239, 258 oraz art. 264 ust. 3 ustawy z dnia 27 sierpnia 2009 r. o finansach publicznych (</w:t>
      </w:r>
      <w:proofErr w:type="spellStart"/>
      <w:r w:rsidRPr="002E3FB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E3FBF">
        <w:rPr>
          <w:rFonts w:ascii="Times New Roman" w:hAnsi="Times New Roman" w:cs="Times New Roman"/>
          <w:sz w:val="24"/>
          <w:szCs w:val="24"/>
        </w:rPr>
        <w:t xml:space="preserve">.: Dz. U. z 2022 r. poz.1634 z </w:t>
      </w:r>
      <w:proofErr w:type="spellStart"/>
      <w:r w:rsidRPr="002E3FBF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Pr="002E3FBF">
        <w:rPr>
          <w:rFonts w:ascii="Times New Roman" w:hAnsi="Times New Roman" w:cs="Times New Roman"/>
          <w:sz w:val="24"/>
          <w:szCs w:val="24"/>
        </w:rPr>
        <w:t xml:space="preserve">.)  - </w:t>
      </w:r>
      <w:r w:rsidRPr="002E3FBF">
        <w:rPr>
          <w:rFonts w:ascii="Times New Roman" w:hAnsi="Times New Roman" w:cs="Times New Roman"/>
          <w:b/>
          <w:bCs/>
          <w:sz w:val="24"/>
          <w:szCs w:val="24"/>
        </w:rPr>
        <w:t>Rada Gminy Piecki uchwala, co następuje:</w:t>
      </w: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łączną kwotę dochodów budżetu na 2023 rok  w wysokości 46.510.767,00 zł,       z tego:</w:t>
      </w:r>
    </w:p>
    <w:p w:rsidR="002E3FBF" w:rsidRPr="002E3FBF" w:rsidRDefault="002E3FBF" w:rsidP="002E3FBF">
      <w:pPr>
        <w:numPr>
          <w:ilvl w:val="0"/>
          <w:numId w:val="1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bieżące w wysokości       36.855.031,00 zł,</w:t>
      </w:r>
    </w:p>
    <w:p w:rsidR="002E3FBF" w:rsidRPr="002E3FBF" w:rsidRDefault="002E3FBF" w:rsidP="002E3FBF">
      <w:pPr>
        <w:numPr>
          <w:ilvl w:val="0"/>
          <w:numId w:val="1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majątkowe w wysokości   9.655.736,00 zł, 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łączną kwotę wydatków budżetu na 2023 rok w wysokości 49.980.572,00 zł,        z tego:</w:t>
      </w:r>
    </w:p>
    <w:p w:rsidR="002E3FBF" w:rsidRPr="002E3FBF" w:rsidRDefault="002E3FBF" w:rsidP="002E3FBF">
      <w:pPr>
        <w:numPr>
          <w:ilvl w:val="0"/>
          <w:numId w:val="2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bieżące w wysokości            36.844.820,16 zł,</w:t>
      </w:r>
    </w:p>
    <w:p w:rsidR="002E3FBF" w:rsidRPr="002E3FBF" w:rsidRDefault="002E3FBF" w:rsidP="002E3FBF">
      <w:pPr>
        <w:numPr>
          <w:ilvl w:val="0"/>
          <w:numId w:val="2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majątkowe w wysokości       13.135.751,84 zł, 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zgodnie z Załącznikiem nr 2.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deficyt budżetu na 2023 rok w wysokości – 3.469.805,00 zł, który zostanie pokryty przychodami:</w:t>
      </w:r>
    </w:p>
    <w:p w:rsidR="002E3FBF" w:rsidRPr="002E3FBF" w:rsidRDefault="002E3FBF" w:rsidP="002E3FBF">
      <w:pPr>
        <w:numPr>
          <w:ilvl w:val="0"/>
          <w:numId w:val="3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pochodzącymi z zaciąganych kredytów i pożyczek w kwocie  3.245.000,00 zł,</w:t>
      </w:r>
    </w:p>
    <w:p w:rsidR="002E3FBF" w:rsidRPr="002E3FBF" w:rsidRDefault="002E3FBF" w:rsidP="002E3FBF">
      <w:pPr>
        <w:numPr>
          <w:ilvl w:val="0"/>
          <w:numId w:val="3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z niewykorzystanych środków pieniężnych na rachunku budżetu, wynikających z rozliczenia dochodów i wydatków nimi finansowanych związanych ze szczególnymi  zasadami wykonywania budżetu określonymi w odrębnych ustawach – 224.805,00 zł.</w:t>
      </w: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W budżecie tworzy się rezerwy:</w:t>
      </w:r>
    </w:p>
    <w:p w:rsidR="002E3FBF" w:rsidRPr="002E3FBF" w:rsidRDefault="002E3FBF" w:rsidP="002E3FBF">
      <w:pPr>
        <w:numPr>
          <w:ilvl w:val="0"/>
          <w:numId w:val="4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ogólną w wysokości –  300.000,00 zł,</w:t>
      </w:r>
    </w:p>
    <w:p w:rsidR="002E3FBF" w:rsidRPr="002E3FBF" w:rsidRDefault="002E3FBF" w:rsidP="002E3FBF">
      <w:pPr>
        <w:numPr>
          <w:ilvl w:val="0"/>
          <w:numId w:val="4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celową na zarządzanie kryzysowe w wysokości –  150.000,00 zł.</w:t>
      </w:r>
      <w:r w:rsidRPr="002E3FBF">
        <w:rPr>
          <w:rFonts w:ascii="Times New Roman" w:hAnsi="Times New Roman" w:cs="Times New Roman"/>
          <w:sz w:val="24"/>
          <w:szCs w:val="24"/>
        </w:rPr>
        <w:tab/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5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 wydatki  na zadania inwestycyjne realizowane w  2023 roku,  zgodnie z Załącznikiem nr 3.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wydatki na programy i projekty realizowane z udziałem środków pochodzących z Unii Europejskiej zgodnie z Za</w:t>
      </w:r>
      <w:r w:rsidRPr="002E3FBF">
        <w:rPr>
          <w:rFonts w:ascii="Times New Roman" w:hAnsi="Times New Roman" w:cs="Times New Roman"/>
          <w:sz w:val="24"/>
          <w:szCs w:val="24"/>
        </w:rPr>
        <w:softHyphen/>
        <w:t>łącznikiem nr 4.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dochody i wydatki związane z realizacją zadań z zakresu administracji rządowej i innych zadań zleconych jednostce samorządu terytorialnego odrębnymi ustawami –zgodnie z Załącznikiem nr 5  i nr 6.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dochody i wydatki  związane z realizacją zadań realizowanych w drodze umów lub porozumień między jednostkami samorządu terytorialnego, zgodnie z Załącznikiem nr 7.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zestawienie planowanych kwot dotacji udzielanych z budżetu gminy, zgodnie z Załącznikiem nr 8.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łączną kwotę planowanych przychodów w wysokości 5.224.805,00 zł i łączną kwotę planowanych rozchodów w wysokości 1.755.000,00 zł, zgodnie z Załącznikiem nr 9.</w:t>
      </w: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w budżecie kwotę 524.032,42 zł, do dyspozycji sołectw zgodnie z Załącznikiem nr 10 i 11.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Określa się plan dochodów i wydatków dla wyodrębnionego rachunku dochodów 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oświatowych, zgodnie z Załącznikiem nr 12.</w:t>
      </w:r>
    </w:p>
    <w:p w:rsidR="002E3FBF" w:rsidRPr="002E3FBF" w:rsidRDefault="002E3FBF" w:rsidP="002E3FBF">
      <w:pPr>
        <w:tabs>
          <w:tab w:val="right" w:pos="283"/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2E3FBF" w:rsidRPr="002E3FBF" w:rsidRDefault="002E3FBF" w:rsidP="002E3FBF">
      <w:pPr>
        <w:numPr>
          <w:ilvl w:val="0"/>
          <w:numId w:val="5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dochody w kwocie 221.400,00 zł z tytułu wydawania zezwoleń na sprzedaż napojów alkoholowych i w kwocie 110.000,00 zł z tytułu części opłaty za zezwolenia na sprzedaż napojów oraz wydatki w kwocie 321.400,00 zł na realizację zadań określonych w gminnym programie profilaktyki i rozwiązywania problemów alkoholowych i wydatki w kwocie 10.000,00 zł na realizację zadań określonych w gminnym programie przeciwdziałania narkomanii.</w:t>
      </w:r>
    </w:p>
    <w:p w:rsidR="002E3FBF" w:rsidRPr="002E3FBF" w:rsidRDefault="002E3FBF" w:rsidP="002E3FBF">
      <w:pPr>
        <w:numPr>
          <w:ilvl w:val="0"/>
          <w:numId w:val="5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Określa się dochody w kwocie 2.787.000,00 zł z tytułu opłat za gospodarowanie odpadami komunalnymi oraz wydatki w kwocie 2.787.000,00 zł na pokrycie kosztów systemu gospodarowania odpadami komunalnymi określonych w ustawie o utrzymaniu czystości i porządku w gminach.</w:t>
      </w:r>
    </w:p>
    <w:p w:rsidR="002E3FBF" w:rsidRPr="002E3FBF" w:rsidRDefault="002E3FBF" w:rsidP="002E3FBF">
      <w:pPr>
        <w:numPr>
          <w:ilvl w:val="0"/>
          <w:numId w:val="5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lastRenderedPageBreak/>
        <w:t>Określa się dochody w kwocie 15.000,00 zł i wydatki w kwocie 15.000,00 zł w związku z realizacją zadań określonych ustawą – Prawo ochrony środowiska.</w:t>
      </w: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Ustala się limit zobowiązań z tytułu emisji papierów wartościowych oraz kredytów i pożyczek zaciąganych na:</w:t>
      </w:r>
    </w:p>
    <w:p w:rsidR="002E3FBF" w:rsidRPr="002E3FBF" w:rsidRDefault="002E3FBF" w:rsidP="002E3FBF">
      <w:pPr>
        <w:numPr>
          <w:ilvl w:val="0"/>
          <w:numId w:val="6"/>
        </w:numPr>
        <w:tabs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sfinansowanie przejściowego deficytu budżetu w kwocie 3.000.000,00 zł,</w:t>
      </w:r>
    </w:p>
    <w:p w:rsidR="002E3FBF" w:rsidRPr="002E3FBF" w:rsidRDefault="002E3FBF" w:rsidP="002E3FBF">
      <w:pPr>
        <w:numPr>
          <w:ilvl w:val="0"/>
          <w:numId w:val="6"/>
        </w:numPr>
        <w:tabs>
          <w:tab w:val="left" w:pos="720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sfinansowanie planowanego deficytu budżetu w kwocie 3.245.000,00 zł,</w:t>
      </w:r>
    </w:p>
    <w:p w:rsidR="002E3FBF" w:rsidRPr="002E3FBF" w:rsidRDefault="002E3FBF" w:rsidP="002E3FBF">
      <w:pPr>
        <w:numPr>
          <w:ilvl w:val="0"/>
          <w:numId w:val="6"/>
        </w:numPr>
        <w:tabs>
          <w:tab w:val="right" w:pos="283"/>
          <w:tab w:val="left" w:pos="340"/>
          <w:tab w:val="left" w:pos="720"/>
          <w:tab w:val="right" w:pos="907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spłatę wcześniej zaciągniętych zobowiązań w kwocie 1.755.000,00 zł.</w:t>
      </w: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Upoważnia się Wójta do :</w:t>
      </w:r>
    </w:p>
    <w:p w:rsidR="002E3FBF" w:rsidRPr="002E3FBF" w:rsidRDefault="002E3FBF" w:rsidP="002E3FBF">
      <w:pPr>
        <w:numPr>
          <w:ilvl w:val="0"/>
          <w:numId w:val="7"/>
        </w:num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zaciągania kredytów i pożyczek oraz emisji papierów wartościowych do wysokości </w:t>
      </w:r>
    </w:p>
    <w:p w:rsidR="002E3FBF" w:rsidRPr="002E3FBF" w:rsidRDefault="002E3FBF" w:rsidP="002E3FBF">
      <w:pPr>
        <w:tabs>
          <w:tab w:val="left" w:pos="720"/>
          <w:tab w:val="right" w:pos="9072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poszczególnych limitów zobowiązań określonych przez Radę Gminy w § 14 uchwały,</w:t>
      </w:r>
    </w:p>
    <w:p w:rsidR="002E3FBF" w:rsidRPr="002E3FBF" w:rsidRDefault="002E3FBF" w:rsidP="002E3FBF">
      <w:pPr>
        <w:tabs>
          <w:tab w:val="left" w:pos="426"/>
          <w:tab w:val="right" w:pos="9072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numPr>
          <w:ilvl w:val="0"/>
          <w:numId w:val="7"/>
        </w:num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dokonywania zmian w planie wydatków, z wyłączeniem przeniesień wydat</w:t>
      </w:r>
      <w:r w:rsidRPr="002E3FBF">
        <w:rPr>
          <w:rFonts w:ascii="Times New Roman" w:hAnsi="Times New Roman" w:cs="Times New Roman"/>
          <w:sz w:val="24"/>
          <w:szCs w:val="24"/>
        </w:rPr>
        <w:softHyphen/>
        <w:t>ków między działami</w:t>
      </w:r>
      <w:r w:rsidRPr="002E3FB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2E3FBF">
        <w:rPr>
          <w:rFonts w:ascii="Times New Roman" w:hAnsi="Times New Roman" w:cs="Times New Roman"/>
          <w:sz w:val="24"/>
          <w:szCs w:val="24"/>
        </w:rPr>
        <w:t>w zakresie:</w:t>
      </w:r>
    </w:p>
    <w:p w:rsidR="002E3FBF" w:rsidRPr="002E3FBF" w:rsidRDefault="002E3FBF" w:rsidP="002E3FBF">
      <w:pPr>
        <w:numPr>
          <w:ilvl w:val="1"/>
          <w:numId w:val="1"/>
        </w:numPr>
        <w:tabs>
          <w:tab w:val="left" w:pos="1211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przenoszenia środków na uposażenia  i wynagrodzenia ze stosunku pracy wraz z pochodnymi nie powodując zwiększenia tych wydatków ogółem,</w:t>
      </w:r>
    </w:p>
    <w:p w:rsidR="002E3FBF" w:rsidRPr="002E3FBF" w:rsidRDefault="002E3FBF" w:rsidP="002E3FBF">
      <w:pPr>
        <w:numPr>
          <w:ilvl w:val="1"/>
          <w:numId w:val="1"/>
        </w:numPr>
        <w:tabs>
          <w:tab w:val="left" w:pos="1211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przenoszenia środków na wydatki inwestycyjne, z wyłączeniem rozszerzania ich zakresu rzeczowego oraz wprowadzania nowych zadań, nie powodując zwiększenia tych wydatków ogółem,</w:t>
      </w:r>
    </w:p>
    <w:p w:rsidR="002E3FBF" w:rsidRPr="002E3FBF" w:rsidRDefault="002E3FBF" w:rsidP="002E3FBF">
      <w:pPr>
        <w:tabs>
          <w:tab w:val="left" w:pos="284"/>
          <w:tab w:val="right" w:pos="9072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numPr>
          <w:ilvl w:val="0"/>
          <w:numId w:val="7"/>
        </w:num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przekazania kierownikom jednostek budżetowych uprawnień do dokonywania </w:t>
      </w:r>
    </w:p>
    <w:p w:rsidR="002E3FBF" w:rsidRPr="002E3FBF" w:rsidRDefault="002E3FBF" w:rsidP="002E3FBF">
      <w:pPr>
        <w:tabs>
          <w:tab w:val="left" w:pos="720"/>
          <w:tab w:val="right" w:pos="9072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przeniesień w planie dochodów i wydatków w  rachunku dochodów samorządowych jednostek budżetowych prowadzących działalność na podstawie ustawy o systemie oświaty i wydatków nimi finansowanych,</w:t>
      </w:r>
    </w:p>
    <w:p w:rsidR="002E3FBF" w:rsidRPr="002E3FBF" w:rsidRDefault="002E3FBF" w:rsidP="002E3FBF">
      <w:pPr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2E3FBF" w:rsidRPr="002E3FBF" w:rsidRDefault="002E3FBF" w:rsidP="002E3FBF">
      <w:pPr>
        <w:numPr>
          <w:ilvl w:val="0"/>
          <w:numId w:val="7"/>
        </w:num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zaciągania zobowiązań z tytułu umów,  których realizacja w roku budżetowym i w  </w:t>
      </w:r>
    </w:p>
    <w:p w:rsidR="002E3FBF" w:rsidRPr="002E3FBF" w:rsidRDefault="002E3FBF" w:rsidP="002E3FBF">
      <w:pPr>
        <w:tabs>
          <w:tab w:val="left" w:pos="720"/>
          <w:tab w:val="right" w:pos="9072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latach następnych jest niezbędna dla zapewnienia ciągłości działania gminy </w:t>
      </w:r>
    </w:p>
    <w:p w:rsidR="002E3FBF" w:rsidRPr="002E3FBF" w:rsidRDefault="002E3FBF" w:rsidP="002E3FBF">
      <w:pPr>
        <w:tabs>
          <w:tab w:val="left" w:pos="720"/>
          <w:tab w:val="right" w:pos="9072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i z których wynikające płatności wykraczają poza rok budżetowy,</w:t>
      </w:r>
    </w:p>
    <w:p w:rsidR="002E3FBF" w:rsidRPr="002E3FBF" w:rsidRDefault="002E3FBF" w:rsidP="002E3FBF">
      <w:pPr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numPr>
          <w:ilvl w:val="0"/>
          <w:numId w:val="7"/>
        </w:num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dokonywania zmian w planie dochodów i wydatków związanych ze:</w:t>
      </w:r>
    </w:p>
    <w:p w:rsidR="002E3FBF" w:rsidRPr="002E3FBF" w:rsidRDefault="002E3FBF" w:rsidP="002E3FBF">
      <w:pPr>
        <w:numPr>
          <w:ilvl w:val="1"/>
          <w:numId w:val="1"/>
        </w:numPr>
        <w:tabs>
          <w:tab w:val="left" w:pos="1211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zmianą kwot lub uzyskaniem płatności przekazywanych z budżetu środków  </w:t>
      </w:r>
    </w:p>
    <w:p w:rsidR="002E3FBF" w:rsidRPr="002E3FBF" w:rsidRDefault="002E3FBF" w:rsidP="002E3FBF">
      <w:pPr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                    europejskich, o ile zmiana ta  nie pogorszy wyniku budżetu,</w:t>
      </w:r>
    </w:p>
    <w:p w:rsidR="002E3FBF" w:rsidRPr="002E3FBF" w:rsidRDefault="002E3FBF" w:rsidP="002E3FBF">
      <w:pPr>
        <w:tabs>
          <w:tab w:val="left" w:pos="720"/>
          <w:tab w:val="right" w:pos="9072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  b)   zmianami w realizacji przedsięwzięcia finansowanego z udziałem środków </w:t>
      </w:r>
    </w:p>
    <w:p w:rsidR="002E3FBF" w:rsidRPr="002E3FBF" w:rsidRDefault="002E3FBF" w:rsidP="002E3FBF">
      <w:p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          europejskich albo środków, o których mowa w art.5 ust.1 pkt.3 ustawy o </w:t>
      </w:r>
    </w:p>
    <w:p w:rsidR="002E3FBF" w:rsidRPr="002E3FBF" w:rsidRDefault="002E3FBF" w:rsidP="002E3FBF">
      <w:p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          finansach publicznych, o ile zmiany te nie pogorszą wyniku budżetu,</w:t>
      </w:r>
    </w:p>
    <w:p w:rsidR="002E3FBF" w:rsidRPr="002E3FBF" w:rsidRDefault="002E3FBF" w:rsidP="002E3FBF">
      <w:pPr>
        <w:tabs>
          <w:tab w:val="left" w:pos="340"/>
          <w:tab w:val="right" w:pos="9072"/>
        </w:tabs>
        <w:autoSpaceDE w:val="0"/>
        <w:autoSpaceDN w:val="0"/>
        <w:adjustRightInd w:val="0"/>
        <w:spacing w:after="0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              c)    zwrotem płatności otrzymanych z budżetu środków europejskich.</w:t>
      </w:r>
    </w:p>
    <w:p w:rsidR="002E3FBF" w:rsidRPr="002E3FBF" w:rsidRDefault="002E3FBF" w:rsidP="002E3FBF">
      <w:pPr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numPr>
          <w:ilvl w:val="0"/>
          <w:numId w:val="7"/>
        </w:num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przekazania uprawnień jednostkom organizacyjnym do zaciągania zobowiązań z tytułu umów, których realizacja w roku budżetowym i w latach następnych jest niezbędna dla zapewnienia ciągłości działania gminy i z których wynikające płatności wykraczają poza rok budżetowy,</w:t>
      </w:r>
    </w:p>
    <w:p w:rsidR="002E3FBF" w:rsidRPr="002E3FBF" w:rsidRDefault="002E3FBF" w:rsidP="002E3FBF">
      <w:p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numPr>
          <w:ilvl w:val="0"/>
          <w:numId w:val="7"/>
        </w:numPr>
        <w:tabs>
          <w:tab w:val="left" w:pos="644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lokowania wolnych środków budżetowych na rachunkach bankowych w innych bankach niż bank prowadzący obsługę budżetu gminy,</w:t>
      </w:r>
    </w:p>
    <w:p w:rsidR="002E3FBF" w:rsidRPr="002E3FBF" w:rsidRDefault="002E3FBF" w:rsidP="002E3FB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numPr>
          <w:ilvl w:val="0"/>
          <w:numId w:val="7"/>
        </w:numPr>
        <w:tabs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dokonywania zmian w planie dochodów i wydatków budżetu jednostki samorządu terytorialnego, w tym dokonywania przeniesień wydatków między działami klasyfikacji budżetowej w celu realizacji zadań związanych z pomocą obywatelom Ukrainy w związku z konfliktem zbrojnym na terytorium tego państwa.</w:t>
      </w:r>
    </w:p>
    <w:p w:rsidR="002E3FBF" w:rsidRPr="002E3FBF" w:rsidRDefault="002E3FBF" w:rsidP="002E3FBF">
      <w:pPr>
        <w:tabs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tabs>
          <w:tab w:val="left" w:pos="284"/>
          <w:tab w:val="right" w:pos="9072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16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FBF"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>Uchwała wchodzi w życie z dniem 1 stycznia 2023 roku i podlega publikacji w Dzienniku Urzędowym Województwa Warmińsko-Mazurskiego.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Przewodniczący Rady</w:t>
      </w:r>
    </w:p>
    <w:p w:rsidR="002E3FBF" w:rsidRPr="002E3FBF" w:rsidRDefault="002E3FBF" w:rsidP="002E3FBF">
      <w:pPr>
        <w:widowControl w:val="0"/>
        <w:tabs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F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/-/ Tomasz </w:t>
      </w:r>
      <w:proofErr w:type="spellStart"/>
      <w:r w:rsidRPr="002E3FBF">
        <w:rPr>
          <w:rFonts w:ascii="Times New Roman" w:hAnsi="Times New Roman" w:cs="Times New Roman"/>
          <w:sz w:val="24"/>
          <w:szCs w:val="24"/>
        </w:rPr>
        <w:t>Jasinowicz</w:t>
      </w:r>
      <w:proofErr w:type="spellEnd"/>
    </w:p>
    <w:p w:rsidR="002E3FBF" w:rsidRPr="002E3FBF" w:rsidRDefault="002E3FBF" w:rsidP="002E3FBF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60" w:after="320"/>
        <w:jc w:val="both"/>
        <w:rPr>
          <w:rFonts w:ascii="Times New Roman" w:hAnsi="Times New Roman" w:cs="Times New Roman"/>
          <w:b/>
          <w:bCs/>
          <w:sz w:val="34"/>
          <w:szCs w:val="34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2E3FBF" w:rsidRPr="002E3FBF" w:rsidRDefault="002E3FBF" w:rsidP="002E3FBF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</w:rPr>
      </w:pPr>
    </w:p>
    <w:p w:rsidR="008E57CA" w:rsidRDefault="008E57CA"/>
    <w:sectPr w:rsidR="008E57CA" w:rsidSect="00D578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80D" w:rsidRDefault="002E3FBF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right"/>
    </w:pPr>
    <w:r>
      <w:fldChar w:fldCharType="begin"/>
    </w:r>
    <w:r>
      <w:instrText xml:space="preserve"> PAGE \* Arabic </w:instrText>
    </w:r>
    <w:r>
      <w:fldChar w:fldCharType="separate"/>
    </w:r>
    <w:r>
      <w:rPr>
        <w:noProof/>
      </w:rPr>
      <w:t>4</w:t>
    </w:r>
    <w:r>
      <w:fldChar w:fldCharType="end"/>
    </w:r>
  </w:p>
  <w:p w:rsidR="00D5780D" w:rsidRDefault="002E3FBF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80D" w:rsidRDefault="002E3FBF">
    <w:pPr>
      <w:pStyle w:val="Nagwek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57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193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229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65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301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337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3731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3FBF"/>
    <w:rsid w:val="001C6248"/>
    <w:rsid w:val="002E3FBF"/>
    <w:rsid w:val="008E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7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E3FB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E3FB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2E3FB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E3FBF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2E3FBF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2E3FBF"/>
    <w:pPr>
      <w:widowControl w:val="0"/>
      <w:autoSpaceDE w:val="0"/>
      <w:autoSpaceDN w:val="0"/>
      <w:adjustRightInd w:val="0"/>
      <w:spacing w:before="160" w:after="320"/>
      <w:jc w:val="center"/>
    </w:pPr>
    <w:rPr>
      <w:rFonts w:ascii="Times New Roman" w:hAnsi="Times New Roman" w:cs="Times New Roman"/>
      <w:sz w:val="34"/>
      <w:szCs w:val="34"/>
    </w:rPr>
  </w:style>
  <w:style w:type="character" w:customStyle="1" w:styleId="TytuZnak">
    <w:name w:val="Tytuł Znak"/>
    <w:basedOn w:val="Domylnaczcionkaakapitu"/>
    <w:link w:val="Tytu"/>
    <w:uiPriority w:val="99"/>
    <w:rsid w:val="002E3FBF"/>
    <w:rPr>
      <w:rFonts w:ascii="Times New Roman" w:hAnsi="Times New Roman" w:cs="Times New Roman"/>
      <w:sz w:val="34"/>
      <w:szCs w:val="34"/>
    </w:rPr>
  </w:style>
  <w:style w:type="paragraph" w:customStyle="1" w:styleId="ZalCenterBold">
    <w:name w:val="_Zal_Center_Bold"/>
    <w:basedOn w:val="Normalny"/>
    <w:uiPriority w:val="99"/>
    <w:rsid w:val="002E3FBF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">
    <w:name w:val="_Zal_BT"/>
    <w:basedOn w:val="Normalny"/>
    <w:uiPriority w:val="99"/>
    <w:rsid w:val="002E3FBF"/>
    <w:pPr>
      <w:widowControl w:val="0"/>
      <w:tabs>
        <w:tab w:val="righ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hAnsi="Arial" w:cs="Arial"/>
      <w:sz w:val="18"/>
      <w:szCs w:val="18"/>
    </w:rPr>
  </w:style>
  <w:style w:type="paragraph" w:customStyle="1" w:styleId="ZalParagraf">
    <w:name w:val="_Zal_Paragraf"/>
    <w:basedOn w:val="Normalny"/>
    <w:uiPriority w:val="99"/>
    <w:rsid w:val="002E3FBF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kt1">
    <w:name w:val="_Zal_Pkt_1"/>
    <w:basedOn w:val="Normalny"/>
    <w:uiPriority w:val="99"/>
    <w:rsid w:val="002E3FBF"/>
    <w:pPr>
      <w:tabs>
        <w:tab w:val="right" w:pos="283"/>
        <w:tab w:val="left" w:pos="340"/>
        <w:tab w:val="right" w:pos="9072"/>
      </w:tabs>
      <w:autoSpaceDE w:val="0"/>
      <w:autoSpaceDN w:val="0"/>
      <w:adjustRightInd w:val="0"/>
      <w:spacing w:before="40" w:after="40" w:line="252" w:lineRule="atLeast"/>
      <w:ind w:left="340" w:hanging="340"/>
      <w:jc w:val="both"/>
    </w:pPr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E3FB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F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pl/imgres?imgurl=http://upload.wikimedia.org/wikipedia/commons/thumb/1/13/POL_gmina_Piecki_COA.svg/150px-POL_gmina_Piecki_COA.svg.png&amp;imgrefurl=http://pl.wikipedia.org/wiki/Herb_gminy_Piecki&amp;usg=__mrFpXUqC836BlHlukvEKMd3OIng=&amp;h=182&amp;w=150&amp;sz=21&amp;hl=pl&amp;start=0&amp;zoom=1&amp;tbnid=f-CgZ54G85OzEM:&amp;tbnh=145&amp;tbnw=120&amp;prev=/images?q=herb+gminy+piecki&amp;hl=pl&amp;sa=G&amp;biw=1596&amp;bih=632&amp;gbv=2&amp;tbs=isch:1&amp;itbs=1&amp;iact=hc&amp;vpx=161&amp;vpy=118&amp;dur=998&amp;hovh=145&amp;hovw=120&amp;tx=62&amp;ty=81&amp;ei=FNngTNe8HYS0tAbMp5HeCw&amp;oei=FNngTNe8HYS0tAbMp5HeCw&amp;esq=1&amp;page=1&amp;ndsp=21&amp;ved=1t:429,r:0,s: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1132</Words>
  <Characters>6792</Characters>
  <Application>Microsoft Office Word</Application>
  <DocSecurity>0</DocSecurity>
  <Lines>56</Lines>
  <Paragraphs>15</Paragraphs>
  <ScaleCrop>false</ScaleCrop>
  <Company/>
  <LinksUpToDate>false</LinksUpToDate>
  <CharactersWithSpaces>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Naumowicz</dc:creator>
  <cp:lastModifiedBy>Agata Naumowicz</cp:lastModifiedBy>
  <cp:revision>1</cp:revision>
  <dcterms:created xsi:type="dcterms:W3CDTF">2023-09-27T13:55:00Z</dcterms:created>
  <dcterms:modified xsi:type="dcterms:W3CDTF">2023-09-27T13:55:00Z</dcterms:modified>
</cp:coreProperties>
</file>